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14" w:rsidRDefault="00B80D14"/>
    <w:p w:rsidR="00B80D14" w:rsidRPr="003F1336" w:rsidRDefault="00B80D14" w:rsidP="003F1336">
      <w:pPr>
        <w:jc w:val="center"/>
        <w:rPr>
          <w:b/>
          <w:bCs/>
          <w:color w:val="000000"/>
          <w:u w:val="single"/>
        </w:rPr>
      </w:pPr>
      <w:r w:rsidRPr="003F1336">
        <w:rPr>
          <w:b/>
          <w:bCs/>
          <w:color w:val="000000"/>
          <w:u w:val="single"/>
        </w:rPr>
        <w:t>“Ecoinnovación y ecoeficiencia, el camino hacia la gestión sostenible de polígonos industriales”</w:t>
      </w:r>
    </w:p>
    <w:p w:rsidR="00B80D14" w:rsidRDefault="00B80D14"/>
    <w:p w:rsidR="00B80D14" w:rsidRDefault="00B80D14" w:rsidP="004A68FD">
      <w:pPr>
        <w:pStyle w:val="ListParagraph"/>
        <w:numPr>
          <w:ilvl w:val="0"/>
          <w:numId w:val="1"/>
        </w:numPr>
      </w:pPr>
      <w:r>
        <w:t>Polígonos industriales: situación de partida y evolución en el tiempo del concepto.</w:t>
      </w:r>
    </w:p>
    <w:p w:rsidR="00B80D14" w:rsidRDefault="00B80D14" w:rsidP="004A68FD">
      <w:pPr>
        <w:pStyle w:val="ListParagraph"/>
        <w:numPr>
          <w:ilvl w:val="0"/>
          <w:numId w:val="1"/>
        </w:numPr>
      </w:pPr>
      <w:r>
        <w:t>Buenas prácticas ambientales en polígonos industriales. Evaluación, medidas de control, seguimiento y recomendaciones:</w:t>
      </w:r>
    </w:p>
    <w:p w:rsidR="00B80D14" w:rsidRDefault="00B80D14" w:rsidP="004A68FD">
      <w:pPr>
        <w:pStyle w:val="ListParagraph"/>
        <w:numPr>
          <w:ilvl w:val="1"/>
          <w:numId w:val="1"/>
        </w:numPr>
      </w:pPr>
      <w:r>
        <w:t>Materias primas.</w:t>
      </w:r>
    </w:p>
    <w:p w:rsidR="00B80D14" w:rsidRDefault="00B80D14" w:rsidP="004A68FD">
      <w:pPr>
        <w:pStyle w:val="ListParagraph"/>
        <w:numPr>
          <w:ilvl w:val="1"/>
          <w:numId w:val="1"/>
        </w:numPr>
      </w:pPr>
      <w:r>
        <w:t>Energía.</w:t>
      </w:r>
    </w:p>
    <w:p w:rsidR="00B80D14" w:rsidRDefault="00B80D14" w:rsidP="004A68FD">
      <w:pPr>
        <w:pStyle w:val="ListParagraph"/>
        <w:numPr>
          <w:ilvl w:val="1"/>
          <w:numId w:val="1"/>
        </w:numPr>
      </w:pPr>
      <w:r>
        <w:t>Agua.</w:t>
      </w:r>
    </w:p>
    <w:p w:rsidR="00B80D14" w:rsidRDefault="00B80D14" w:rsidP="004A68FD">
      <w:pPr>
        <w:pStyle w:val="ListParagraph"/>
        <w:numPr>
          <w:ilvl w:val="1"/>
          <w:numId w:val="1"/>
        </w:numPr>
      </w:pPr>
      <w:r>
        <w:t>Emisiones Atmosféricas.</w:t>
      </w:r>
    </w:p>
    <w:p w:rsidR="00B80D14" w:rsidRDefault="00B80D14" w:rsidP="004A68FD">
      <w:pPr>
        <w:pStyle w:val="ListParagraph"/>
        <w:numPr>
          <w:ilvl w:val="1"/>
          <w:numId w:val="1"/>
        </w:numPr>
      </w:pPr>
      <w:r>
        <w:t>Contaminación Acústica.</w:t>
      </w:r>
    </w:p>
    <w:p w:rsidR="00B80D14" w:rsidRDefault="00B80D14" w:rsidP="004A68FD">
      <w:pPr>
        <w:pStyle w:val="ListParagraph"/>
        <w:numPr>
          <w:ilvl w:val="1"/>
          <w:numId w:val="1"/>
        </w:numPr>
      </w:pPr>
      <w:r>
        <w:t>Residuos.</w:t>
      </w:r>
    </w:p>
    <w:p w:rsidR="00B80D14" w:rsidRDefault="00B80D14" w:rsidP="004A68FD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Jardinería y zonas verdes.</w:t>
      </w:r>
    </w:p>
    <w:p w:rsidR="00B80D14" w:rsidRDefault="00B80D14" w:rsidP="004A68FD">
      <w:pPr>
        <w:pStyle w:val="ListParagraph"/>
        <w:numPr>
          <w:ilvl w:val="1"/>
          <w:numId w:val="1"/>
        </w:numPr>
      </w:pPr>
      <w:r>
        <w:t>Movilidad y circulación de la zona industrial.</w:t>
      </w:r>
    </w:p>
    <w:p w:rsidR="00B80D14" w:rsidRDefault="00B80D14" w:rsidP="004A68FD">
      <w:pPr>
        <w:pStyle w:val="ListParagraph"/>
        <w:numPr>
          <w:ilvl w:val="1"/>
          <w:numId w:val="1"/>
        </w:numPr>
      </w:pPr>
      <w:r>
        <w:t>Relación con comunidades vecinas.</w:t>
      </w:r>
    </w:p>
    <w:p w:rsidR="00B80D14" w:rsidRDefault="00B80D14" w:rsidP="003F1336">
      <w:pPr>
        <w:pStyle w:val="ListParagraph"/>
        <w:numPr>
          <w:ilvl w:val="0"/>
          <w:numId w:val="1"/>
        </w:numPr>
      </w:pPr>
      <w:r>
        <w:t>La ecoinnovación como camino hacia la gestión sostenible y la minimización de impactos ambientales.</w:t>
      </w:r>
    </w:p>
    <w:p w:rsidR="00B80D14" w:rsidRDefault="00B80D14" w:rsidP="003F1336">
      <w:pPr>
        <w:pStyle w:val="ListParagraph"/>
        <w:numPr>
          <w:ilvl w:val="0"/>
          <w:numId w:val="1"/>
        </w:numPr>
      </w:pPr>
      <w:r>
        <w:t>Prospección de la ecoinnovación a nivel nacional. Principales casos de éxito.</w:t>
      </w:r>
    </w:p>
    <w:p w:rsidR="00B80D14" w:rsidRDefault="00B80D14" w:rsidP="003F1336">
      <w:pPr>
        <w:pStyle w:val="ListParagraph"/>
        <w:numPr>
          <w:ilvl w:val="0"/>
          <w:numId w:val="1"/>
        </w:numPr>
      </w:pPr>
      <w:r>
        <w:t>Aproximación al modelo del parque ecoindustrial. Fases y proceso del cambio de modelo:</w:t>
      </w:r>
    </w:p>
    <w:p w:rsidR="00B80D14" w:rsidRDefault="00B80D14" w:rsidP="003F1336">
      <w:pPr>
        <w:pStyle w:val="ListParagraph"/>
        <w:numPr>
          <w:ilvl w:val="1"/>
          <w:numId w:val="1"/>
        </w:numPr>
      </w:pPr>
      <w:r>
        <w:t>Diagnóstico socio-ambiental del parque/polígono.</w:t>
      </w:r>
    </w:p>
    <w:p w:rsidR="00B80D14" w:rsidRPr="00F223E0" w:rsidRDefault="00B80D14" w:rsidP="00F223E0">
      <w:pPr>
        <w:pStyle w:val="ListParagraph"/>
        <w:numPr>
          <w:ilvl w:val="1"/>
          <w:numId w:val="1"/>
        </w:numPr>
      </w:pPr>
      <w:r>
        <w:t xml:space="preserve">Establecimiento del sistema de </w:t>
      </w:r>
      <w:r w:rsidRPr="00F223E0">
        <w:t>objetivos.</w:t>
      </w:r>
    </w:p>
    <w:p w:rsidR="00B80D14" w:rsidRPr="00F223E0" w:rsidRDefault="00B80D14" w:rsidP="00F223E0">
      <w:pPr>
        <w:pStyle w:val="ListParagraph"/>
        <w:numPr>
          <w:ilvl w:val="1"/>
          <w:numId w:val="1"/>
        </w:numPr>
      </w:pPr>
      <w:r w:rsidRPr="00F223E0">
        <w:t>Establecimiento e implementación delsistema de gestión medioambiental.</w:t>
      </w:r>
    </w:p>
    <w:p w:rsidR="00B80D14" w:rsidRDefault="00B80D14" w:rsidP="00F223E0">
      <w:pPr>
        <w:pStyle w:val="ListParagraph"/>
        <w:numPr>
          <w:ilvl w:val="1"/>
          <w:numId w:val="1"/>
        </w:numPr>
      </w:pPr>
      <w:r w:rsidRPr="00F223E0">
        <w:t>Diseño e implementación de proyectos.</w:t>
      </w:r>
    </w:p>
    <w:p w:rsidR="00B80D14" w:rsidRDefault="00B80D14" w:rsidP="00F223E0">
      <w:pPr>
        <w:pStyle w:val="ListParagraph"/>
        <w:numPr>
          <w:ilvl w:val="1"/>
          <w:numId w:val="1"/>
        </w:numPr>
      </w:pPr>
      <w:r>
        <w:t>Seguimiento y monitorización de iniciativas. Indicadores Ambientales de seguimiento.</w:t>
      </w:r>
    </w:p>
    <w:p w:rsidR="00B80D14" w:rsidRDefault="00B80D14" w:rsidP="00F223E0">
      <w:pPr>
        <w:pStyle w:val="ListParagraph"/>
        <w:numPr>
          <w:ilvl w:val="0"/>
          <w:numId w:val="1"/>
        </w:numPr>
      </w:pPr>
      <w:r>
        <w:t>Ruegos y preguntas.</w:t>
      </w:r>
    </w:p>
    <w:sectPr w:rsidR="00B80D14" w:rsidSect="00F223E0">
      <w:headerReference w:type="default" r:id="rId7"/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14" w:rsidRDefault="00B80D14" w:rsidP="004A68FD">
      <w:pPr>
        <w:spacing w:after="0" w:line="240" w:lineRule="auto"/>
      </w:pPr>
      <w:r>
        <w:separator/>
      </w:r>
    </w:p>
  </w:endnote>
  <w:endnote w:type="continuationSeparator" w:id="1">
    <w:p w:rsidR="00B80D14" w:rsidRDefault="00B80D14" w:rsidP="004A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14" w:rsidRDefault="00B80D14" w:rsidP="004A68FD">
      <w:pPr>
        <w:spacing w:after="0" w:line="240" w:lineRule="auto"/>
      </w:pPr>
      <w:r>
        <w:separator/>
      </w:r>
    </w:p>
  </w:footnote>
  <w:footnote w:type="continuationSeparator" w:id="1">
    <w:p w:rsidR="00B80D14" w:rsidRDefault="00B80D14" w:rsidP="004A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14" w:rsidRDefault="00B80D14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0 Imagen" o:spid="_x0000_s2049" type="#_x0000_t75" alt="ECOCAMARAfondo.png" style="position:absolute;margin-left:352.7pt;margin-top:-27.9pt;width:151.3pt;height:58.25pt;z-index:251660288;visibility:visible">
          <v:imagedata r:id="rId1" o:title=""/>
        </v:shape>
      </w:pict>
    </w:r>
    <w:r>
      <w:rPr>
        <w:noProof/>
        <w:lang w:eastAsia="es-ES"/>
      </w:rPr>
      <w:pict>
        <v:shape id="11 Imagen" o:spid="_x0000_s2050" type="#_x0000_t75" alt="CAMARA MALAGA.gif" style="position:absolute;margin-left:-54pt;margin-top:-12.9pt;width:111pt;height:37.9pt;z-index:251661312;visibility:visible">
          <v:imagedata r:id="rId2" o:title=""/>
        </v:shape>
      </w:pict>
    </w:r>
    <w:r>
      <w:rPr>
        <w:noProof/>
        <w:lang w:eastAsia="es-ES"/>
      </w:rPr>
      <w:pict>
        <v:shape id="_x0000_s2051" type="#_x0000_t75" style="position:absolute;margin-left:81pt;margin-top:-14.65pt;width:270.3pt;height:34.8pt;z-index:-251654144" wrapcoords="-38 0 -38 21304 21600 21304 21600 0 -3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3C2A"/>
    <w:multiLevelType w:val="hybridMultilevel"/>
    <w:tmpl w:val="90CC5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8FD"/>
    <w:rsid w:val="00333A2E"/>
    <w:rsid w:val="003F1336"/>
    <w:rsid w:val="004A68FD"/>
    <w:rsid w:val="00680FAB"/>
    <w:rsid w:val="006E7D7C"/>
    <w:rsid w:val="008B2368"/>
    <w:rsid w:val="00962B53"/>
    <w:rsid w:val="00AD3C5D"/>
    <w:rsid w:val="00B80D14"/>
    <w:rsid w:val="00BD2801"/>
    <w:rsid w:val="00CE6421"/>
    <w:rsid w:val="00F2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6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8FD"/>
  </w:style>
  <w:style w:type="paragraph" w:styleId="Footer">
    <w:name w:val="footer"/>
    <w:basedOn w:val="Normal"/>
    <w:link w:val="FooterChar"/>
    <w:uiPriority w:val="99"/>
    <w:rsid w:val="004A6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8FD"/>
  </w:style>
  <w:style w:type="paragraph" w:styleId="ListParagraph">
    <w:name w:val="List Paragraph"/>
    <w:basedOn w:val="Normal"/>
    <w:uiPriority w:val="99"/>
    <w:qFormat/>
    <w:rsid w:val="004A68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164</Words>
  <Characters>906</Characters>
  <Application>Microsoft Office Outlook</Application>
  <DocSecurity>0</DocSecurity>
  <Lines>0</Lines>
  <Paragraphs>0</Paragraphs>
  <ScaleCrop>false</ScaleCrop>
  <Company>Cámara de Comercio de Málaga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labonachera</cp:lastModifiedBy>
  <cp:revision>3</cp:revision>
  <dcterms:created xsi:type="dcterms:W3CDTF">2010-05-24T09:31:00Z</dcterms:created>
  <dcterms:modified xsi:type="dcterms:W3CDTF">2010-05-27T08:26:00Z</dcterms:modified>
</cp:coreProperties>
</file>